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b w:val="0"/>
          <w:bCs w:val="0"/>
          <w:rtl w:val="0"/>
        </w:rPr>
        <w:t xml:space="preserve">Participant: Hosea Jumai</w:t>
        <w:br w:type="textWrapping"/>
        <w:t xml:space="preserve">Location: Kango, Kuje, FCT, Abuja</w:t>
        <w:br w:type="textWrapping"/>
        <w:t xml:space="preserve">Business: Tailoring, bag production, liquid soap, and cream production</w:t>
        <w:br w:type="textWrapping"/>
        <w:t xml:space="preserve">Disability: Deaf</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joining Empower Her Ability, Hosea’s business was operational but faced several limitations, including weak financial management practices and limited business growth strategies. Although she was already engaged in tailoring, bag making, and production of liquid soap and cream, she lacked knowledge of record keeping, structured financial planning, and business development approaches necessary for sustainable growth.</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As a woman with a hearing disability, Hosea also faced financial constraints, communication barriers, and lack of essential business equipment, particularly not having a personal sewing machine. These challenges limited her ability to expand production capacity and compete more effectively in the market.</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Hosea received entrepreneurship training, mentorship, and business management support. She highlighted mentorship as especially impactful, describing it as a major source of accountability and encouragement that strengthened her commitment to financial record keeping and business discipline. The training also improved her knowledge of financial management, record keeping, and strategies for overcoming business challenges.</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project, Hosea now keeps better financial records, tracks profit and loss more intentionally, and has become more strategic about reinvesting in her business. She reports increased self-confidence, stronger customer relationship management, and reduced fear of competing with others in the same market. She has also started saving and investing funds toward purchasing additional business equipment, including a personal sewing machine to strengthen her production capacity.</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improvements, financial limitations remain a key challenge. Hosea would like increased access to finance, business equipment, and stronger customer networks, including connections to higher-value clients who can consistently patronize her products and services.</w:t>
      </w:r>
    </w:p>
    <w:p w:rsidR="00000000" w:rsidDel="00000000" w:rsidP="00000000" w:rsidRDefault="00000000" w:rsidRPr="00000000" w14:paraId="00000007">
      <w:pPr>
        <w:spacing w:after="240" w:before="240" w:lineRule="auto"/>
        <w:ind w:left="0"/>
        <w:rPr>
          <w:b w:val="0"/>
          <w:bCs w:val="0"/>
        </w:rPr>
      </w:pPr>
      <w:r w:rsidDel="00000000" w:rsidR="00000000" w:rsidRPr="00000000">
        <w:rPr>
          <w:b w:val="0"/>
          <w:bCs w:val="0"/>
          <w:rtl w:val="0"/>
        </w:rPr>
        <w:t xml:space="preserve">Key change: Hosea transitioned from informal business management with limited financial structure to more intentional business planning, improved financial discipline, stronger confidence, and increased investment toward future business growth.</w:t>
      </w:r>
    </w:p>
    <w:p w:rsidR="00000000" w:rsidDel="00000000" w:rsidP="00000000" w:rsidRDefault="00000000" w:rsidRPr="00000000" w14:paraId="00000008">
      <w:pPr>
        <w:rPr>
          <w:b w:val="0"/>
          <w:bCs w:val="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